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53F25" w14:textId="03BA221D" w:rsidR="003D6C2E" w:rsidRDefault="00CC6CD1" w:rsidP="00675571">
      <w:pPr>
        <w:rPr>
          <w:sz w:val="22"/>
        </w:rPr>
      </w:pPr>
      <w:r w:rsidRPr="00F30649">
        <w:rPr>
          <w:sz w:val="22"/>
        </w:rPr>
        <w:t>Załącznik C.</w:t>
      </w:r>
      <w:r w:rsidR="005A3B48">
        <w:rPr>
          <w:sz w:val="22"/>
        </w:rPr>
        <w:t>89</w:t>
      </w:r>
      <w:r w:rsidR="00BB405E">
        <w:rPr>
          <w:sz w:val="22"/>
        </w:rPr>
        <w:t>.</w:t>
      </w:r>
      <w:r w:rsidR="00AD75C9">
        <w:rPr>
          <w:sz w:val="22"/>
        </w:rPr>
        <w:t>d</w:t>
      </w:r>
      <w:r w:rsidR="005A3B48">
        <w:rPr>
          <w:sz w:val="22"/>
        </w:rPr>
        <w:t>.</w:t>
      </w:r>
    </w:p>
    <w:p w14:paraId="75222C31" w14:textId="77777777" w:rsidR="00675571" w:rsidRPr="00F30649" w:rsidRDefault="00675571" w:rsidP="00675571">
      <w:pPr>
        <w:rPr>
          <w:sz w:val="22"/>
        </w:rPr>
      </w:pPr>
    </w:p>
    <w:p w14:paraId="1A2B1202" w14:textId="2AF69C70" w:rsidR="00313F72" w:rsidRPr="00675571" w:rsidRDefault="00EA4314" w:rsidP="00675571">
      <w:pPr>
        <w:spacing w:after="240"/>
        <w:rPr>
          <w:b/>
          <w:sz w:val="28"/>
          <w:szCs w:val="28"/>
        </w:rPr>
      </w:pPr>
      <w:r w:rsidRPr="00675571">
        <w:rPr>
          <w:b/>
          <w:sz w:val="28"/>
          <w:szCs w:val="28"/>
        </w:rPr>
        <w:t>SORAFENIB</w:t>
      </w:r>
    </w:p>
    <w:p w14:paraId="0870F8E4" w14:textId="2E80D727" w:rsidR="004C1BD9" w:rsidRDefault="004C1BD9" w:rsidP="00AD75C9">
      <w:pPr>
        <w:pStyle w:val="Akapitzlist"/>
        <w:numPr>
          <w:ilvl w:val="0"/>
          <w:numId w:val="14"/>
        </w:numPr>
        <w:spacing w:after="120" w:line="276" w:lineRule="auto"/>
        <w:jc w:val="both"/>
        <w:rPr>
          <w:rFonts w:ascii="Times New Roman" w:eastAsia="Times New Roman" w:hAnsi="Times New Roman" w:cs="Times New Roman"/>
          <w:bCs/>
          <w:i/>
          <w:iCs/>
          <w:lang w:eastAsia="pl-PL"/>
        </w:rPr>
      </w:pPr>
      <w:r w:rsidRPr="004C1BD9">
        <w:rPr>
          <w:rFonts w:ascii="Times New Roman" w:eastAsia="Times New Roman" w:hAnsi="Times New Roman" w:cs="Times New Roman"/>
          <w:bCs/>
          <w:i/>
          <w:iCs/>
          <w:lang w:eastAsia="pl-PL"/>
        </w:rPr>
        <w:t>brodawkowat</w:t>
      </w:r>
      <w:r>
        <w:rPr>
          <w:rFonts w:ascii="Times New Roman" w:eastAsia="Times New Roman" w:hAnsi="Times New Roman" w:cs="Times New Roman"/>
          <w:bCs/>
          <w:i/>
          <w:iCs/>
          <w:lang w:eastAsia="pl-PL"/>
        </w:rPr>
        <w:t>y</w:t>
      </w:r>
      <w:r w:rsidRPr="004C1BD9">
        <w:rPr>
          <w:rFonts w:ascii="Times New Roman" w:eastAsia="Times New Roman" w:hAnsi="Times New Roman" w:cs="Times New Roman"/>
          <w:bCs/>
          <w:i/>
          <w:iCs/>
          <w:lang w:eastAsia="pl-PL"/>
        </w:rPr>
        <w:t>, pęcherzykow</w:t>
      </w:r>
      <w:r>
        <w:rPr>
          <w:rFonts w:ascii="Times New Roman" w:eastAsia="Times New Roman" w:hAnsi="Times New Roman" w:cs="Times New Roman"/>
          <w:bCs/>
          <w:i/>
          <w:iCs/>
          <w:lang w:eastAsia="pl-PL"/>
        </w:rPr>
        <w:t>y</w:t>
      </w:r>
      <w:r w:rsidRPr="004C1BD9">
        <w:rPr>
          <w:rFonts w:ascii="Times New Roman" w:eastAsia="Times New Roman" w:hAnsi="Times New Roman" w:cs="Times New Roman"/>
          <w:bCs/>
          <w:i/>
          <w:iCs/>
          <w:lang w:eastAsia="pl-PL"/>
        </w:rPr>
        <w:t xml:space="preserve"> lub </w:t>
      </w:r>
      <w:proofErr w:type="spellStart"/>
      <w:r w:rsidRPr="004C1BD9">
        <w:rPr>
          <w:rFonts w:ascii="Times New Roman" w:eastAsia="Times New Roman" w:hAnsi="Times New Roman" w:cs="Times New Roman"/>
          <w:bCs/>
          <w:i/>
          <w:iCs/>
          <w:lang w:eastAsia="pl-PL"/>
        </w:rPr>
        <w:t>onkocytarn</w:t>
      </w:r>
      <w:r>
        <w:rPr>
          <w:rFonts w:ascii="Times New Roman" w:eastAsia="Times New Roman" w:hAnsi="Times New Roman" w:cs="Times New Roman"/>
          <w:bCs/>
          <w:i/>
          <w:iCs/>
          <w:lang w:eastAsia="pl-PL"/>
        </w:rPr>
        <w:t>y</w:t>
      </w:r>
      <w:proofErr w:type="spellEnd"/>
      <w:r w:rsidRPr="004C1BD9">
        <w:rPr>
          <w:rFonts w:ascii="Times New Roman" w:eastAsia="Times New Roman" w:hAnsi="Times New Roman" w:cs="Times New Roman"/>
          <w:bCs/>
          <w:i/>
          <w:iCs/>
          <w:lang w:eastAsia="pl-PL"/>
        </w:rPr>
        <w:t xml:space="preserve"> rak tarczycy;</w:t>
      </w:r>
    </w:p>
    <w:p w14:paraId="2D05297B" w14:textId="58607B8F" w:rsidR="00AD75C9" w:rsidRPr="00AD75C9" w:rsidRDefault="00AD75C9" w:rsidP="00AD75C9">
      <w:pPr>
        <w:pStyle w:val="Akapitzlist"/>
        <w:numPr>
          <w:ilvl w:val="0"/>
          <w:numId w:val="14"/>
        </w:numPr>
        <w:spacing w:after="120" w:line="276" w:lineRule="auto"/>
        <w:jc w:val="both"/>
        <w:rPr>
          <w:rFonts w:ascii="Times New Roman" w:eastAsia="Times New Roman" w:hAnsi="Times New Roman" w:cs="Times New Roman"/>
          <w:bCs/>
          <w:i/>
          <w:iCs/>
          <w:lang w:eastAsia="pl-PL"/>
        </w:rPr>
      </w:pPr>
      <w:r w:rsidRPr="00AD75C9">
        <w:rPr>
          <w:rFonts w:ascii="Times New Roman" w:eastAsia="Times New Roman" w:hAnsi="Times New Roman" w:cs="Times New Roman"/>
          <w:bCs/>
          <w:i/>
          <w:iCs/>
          <w:lang w:eastAsia="pl-PL"/>
        </w:rPr>
        <w:t xml:space="preserve">nowotwór w stadium zaawansowanym (miejscowy nawrót, wznowa lub przerzuty odległe), który nie kwalifikuje się do leczenia miejscowego z opornością na jod promieniotwórczy (udokumentowana nieskuteczność leczenia radioaktywnym jodem rozumiana jako obecność co najmniej jednej zmiany nie wychwytującej jodu lub progresji pomimo wychwytu jodu lub wyczerpanie łącznej kumulatywnej dawki jodu wynoszącej co najmniej 600 </w:t>
      </w:r>
      <w:proofErr w:type="spellStart"/>
      <w:r w:rsidRPr="00AD75C9">
        <w:rPr>
          <w:rFonts w:ascii="Times New Roman" w:eastAsia="Times New Roman" w:hAnsi="Times New Roman" w:cs="Times New Roman"/>
          <w:bCs/>
          <w:i/>
          <w:iCs/>
          <w:lang w:eastAsia="pl-PL"/>
        </w:rPr>
        <w:t>mCi</w:t>
      </w:r>
      <w:proofErr w:type="spellEnd"/>
      <w:r w:rsidRPr="00AD75C9">
        <w:rPr>
          <w:rFonts w:ascii="Times New Roman" w:eastAsia="Times New Roman" w:hAnsi="Times New Roman" w:cs="Times New Roman"/>
          <w:bCs/>
          <w:i/>
          <w:iCs/>
          <w:lang w:eastAsia="pl-PL"/>
        </w:rPr>
        <w:t>) lub niekwalifikujący się do tej terapii;</w:t>
      </w:r>
    </w:p>
    <w:p w14:paraId="0ED5AB43" w14:textId="3379C3C1" w:rsidR="00AD75C9" w:rsidRPr="00AD75C9" w:rsidRDefault="00AD75C9" w:rsidP="00AD75C9">
      <w:pPr>
        <w:pStyle w:val="Akapitzlist"/>
        <w:numPr>
          <w:ilvl w:val="0"/>
          <w:numId w:val="14"/>
        </w:numPr>
        <w:spacing w:after="120" w:line="276" w:lineRule="auto"/>
        <w:jc w:val="both"/>
        <w:rPr>
          <w:rFonts w:ascii="Times New Roman" w:eastAsia="Times New Roman" w:hAnsi="Times New Roman" w:cs="Times New Roman"/>
          <w:bCs/>
          <w:i/>
          <w:iCs/>
          <w:lang w:eastAsia="pl-PL"/>
        </w:rPr>
      </w:pPr>
      <w:r w:rsidRPr="00AD75C9">
        <w:rPr>
          <w:rFonts w:ascii="Times New Roman" w:eastAsia="Times New Roman" w:hAnsi="Times New Roman" w:cs="Times New Roman"/>
          <w:bCs/>
          <w:i/>
          <w:iCs/>
          <w:lang w:eastAsia="pl-PL"/>
        </w:rPr>
        <w:t>progresja choroby w okresie do 14 miesięcy przed włączeniem do programu.</w:t>
      </w:r>
    </w:p>
    <w:p w14:paraId="38B85729" w14:textId="432005D4" w:rsidR="00686D65" w:rsidRPr="00686D65" w:rsidRDefault="00313F72" w:rsidP="005A3B48">
      <w:pPr>
        <w:spacing w:after="240" w:line="276" w:lineRule="auto"/>
        <w:rPr>
          <w:bCs/>
          <w:i/>
          <w:iCs/>
          <w:sz w:val="22"/>
          <w:szCs w:val="22"/>
        </w:rPr>
      </w:pPr>
      <w:r w:rsidRPr="00313F72">
        <w:rPr>
          <w:bCs/>
          <w:i/>
          <w:iCs/>
          <w:sz w:val="22"/>
          <w:szCs w:val="22"/>
        </w:rPr>
        <w:t>Leczenie powinno być stosowane do czasu wystąpienia progresji nowotworu lub niepożądanych działań uniemożliwiających jego kontynuowanie</w:t>
      </w:r>
      <w:r>
        <w:rPr>
          <w:bCs/>
          <w:i/>
          <w:iCs/>
          <w:sz w:val="22"/>
          <w:szCs w:val="22"/>
        </w:rPr>
        <w:t>.</w:t>
      </w:r>
    </w:p>
    <w:tbl>
      <w:tblPr>
        <w:tblW w:w="0" w:type="auto"/>
        <w:tblLayout w:type="fixed"/>
        <w:tblCellMar>
          <w:left w:w="70" w:type="dxa"/>
          <w:right w:w="70" w:type="dxa"/>
        </w:tblCellMar>
        <w:tblLook w:val="0000" w:firstRow="0" w:lastRow="0" w:firstColumn="0" w:lastColumn="0" w:noHBand="0" w:noVBand="0"/>
      </w:tblPr>
      <w:tblGrid>
        <w:gridCol w:w="1304"/>
        <w:gridCol w:w="3912"/>
        <w:gridCol w:w="1647"/>
        <w:gridCol w:w="8519"/>
      </w:tblGrid>
      <w:tr w:rsidR="00CC6CD1" w:rsidRPr="00DA7EC7" w14:paraId="4C3ED1FE" w14:textId="77777777" w:rsidTr="00675571">
        <w:trPr>
          <w:cantSplit/>
          <w:trHeight w:val="850"/>
          <w:tblHeader/>
        </w:trPr>
        <w:tc>
          <w:tcPr>
            <w:tcW w:w="13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EB2C1" w14:textId="77777777" w:rsidR="00CC6CD1" w:rsidRPr="00675571" w:rsidRDefault="00CC6CD1" w:rsidP="00675571">
            <w:pPr>
              <w:jc w:val="center"/>
              <w:rPr>
                <w:color w:val="000000"/>
                <w:sz w:val="20"/>
                <w:szCs w:val="20"/>
              </w:rPr>
            </w:pPr>
            <w:r w:rsidRPr="00675571">
              <w:rPr>
                <w:b/>
                <w:bCs/>
                <w:color w:val="000000"/>
                <w:sz w:val="20"/>
                <w:szCs w:val="20"/>
              </w:rPr>
              <w:t>Lp.</w:t>
            </w:r>
          </w:p>
        </w:tc>
        <w:tc>
          <w:tcPr>
            <w:tcW w:w="3912" w:type="dxa"/>
            <w:tcBorders>
              <w:top w:val="single" w:sz="4" w:space="0" w:color="auto"/>
              <w:left w:val="nil"/>
              <w:bottom w:val="single" w:sz="4" w:space="0" w:color="auto"/>
              <w:right w:val="single" w:sz="4" w:space="0" w:color="auto"/>
            </w:tcBorders>
            <w:shd w:val="clear" w:color="auto" w:fill="auto"/>
            <w:vAlign w:val="center"/>
          </w:tcPr>
          <w:p w14:paraId="70BC9244" w14:textId="1C18F85D" w:rsidR="00CC6CD1" w:rsidRPr="00675571" w:rsidRDefault="00675571" w:rsidP="00675571">
            <w:pPr>
              <w:jc w:val="center"/>
              <w:rPr>
                <w:b/>
                <w:bCs/>
                <w:color w:val="000000"/>
                <w:sz w:val="20"/>
                <w:szCs w:val="20"/>
              </w:rPr>
            </w:pPr>
            <w:r w:rsidRPr="007A5273">
              <w:rPr>
                <w:b/>
                <w:bCs/>
                <w:color w:val="000000"/>
                <w:sz w:val="20"/>
                <w:szCs w:val="20"/>
              </w:rPr>
              <w:t>NAZWA SUBSTANCJI CZYNNEJ ORAZ DROGA PODANIA (JEŻELI DOTYCZY)</w:t>
            </w:r>
          </w:p>
        </w:tc>
        <w:tc>
          <w:tcPr>
            <w:tcW w:w="1647" w:type="dxa"/>
            <w:tcBorders>
              <w:top w:val="single" w:sz="4" w:space="0" w:color="auto"/>
              <w:left w:val="nil"/>
              <w:bottom w:val="single" w:sz="4" w:space="0" w:color="auto"/>
              <w:right w:val="single" w:sz="4" w:space="0" w:color="auto"/>
            </w:tcBorders>
            <w:shd w:val="clear" w:color="auto" w:fill="auto"/>
            <w:vAlign w:val="center"/>
          </w:tcPr>
          <w:p w14:paraId="0D443A29" w14:textId="77777777" w:rsidR="00CC6CD1" w:rsidRPr="00675571" w:rsidRDefault="00CC6CD1" w:rsidP="00675571">
            <w:pPr>
              <w:jc w:val="center"/>
              <w:rPr>
                <w:b/>
                <w:bCs/>
                <w:color w:val="000000"/>
                <w:sz w:val="20"/>
                <w:szCs w:val="20"/>
              </w:rPr>
            </w:pPr>
            <w:r w:rsidRPr="00675571">
              <w:rPr>
                <w:b/>
                <w:bCs/>
                <w:color w:val="000000"/>
                <w:sz w:val="20"/>
                <w:szCs w:val="20"/>
              </w:rPr>
              <w:t>KOD ICD-10</w:t>
            </w:r>
          </w:p>
        </w:tc>
        <w:tc>
          <w:tcPr>
            <w:tcW w:w="8519" w:type="dxa"/>
            <w:tcBorders>
              <w:top w:val="single" w:sz="4" w:space="0" w:color="auto"/>
              <w:left w:val="nil"/>
              <w:bottom w:val="single" w:sz="4" w:space="0" w:color="auto"/>
              <w:right w:val="single" w:sz="4" w:space="0" w:color="auto"/>
            </w:tcBorders>
            <w:shd w:val="clear" w:color="auto" w:fill="auto"/>
            <w:vAlign w:val="center"/>
          </w:tcPr>
          <w:p w14:paraId="0D77E953" w14:textId="77777777" w:rsidR="00CC6CD1" w:rsidRPr="00675571" w:rsidRDefault="00CC6CD1" w:rsidP="00675571">
            <w:pPr>
              <w:jc w:val="center"/>
              <w:rPr>
                <w:b/>
                <w:bCs/>
                <w:color w:val="000000"/>
                <w:sz w:val="20"/>
                <w:szCs w:val="20"/>
              </w:rPr>
            </w:pPr>
            <w:r w:rsidRPr="00675571">
              <w:rPr>
                <w:b/>
                <w:bCs/>
                <w:color w:val="000000"/>
                <w:sz w:val="20"/>
                <w:szCs w:val="20"/>
              </w:rPr>
              <w:t>NAZWA ICD-10</w:t>
            </w:r>
          </w:p>
        </w:tc>
      </w:tr>
      <w:tr w:rsidR="00871AD8" w:rsidRPr="00DA7EC7" w14:paraId="30FD7D88" w14:textId="77777777" w:rsidTr="00675571">
        <w:trPr>
          <w:trHeight w:val="20"/>
        </w:trPr>
        <w:tc>
          <w:tcPr>
            <w:tcW w:w="1304" w:type="dxa"/>
            <w:tcBorders>
              <w:top w:val="nil"/>
              <w:left w:val="single" w:sz="4" w:space="0" w:color="auto"/>
              <w:bottom w:val="single" w:sz="4" w:space="0" w:color="auto"/>
              <w:right w:val="single" w:sz="4" w:space="0" w:color="auto"/>
            </w:tcBorders>
            <w:shd w:val="clear" w:color="auto" w:fill="auto"/>
            <w:vAlign w:val="center"/>
          </w:tcPr>
          <w:p w14:paraId="69DF12F4" w14:textId="77777777" w:rsidR="00871AD8" w:rsidRPr="00DA7EC7" w:rsidRDefault="00871AD8" w:rsidP="005A3B48">
            <w:pPr>
              <w:numPr>
                <w:ilvl w:val="0"/>
                <w:numId w:val="11"/>
              </w:numPr>
              <w:spacing w:before="60" w:after="60"/>
              <w:jc w:val="center"/>
              <w:rPr>
                <w:color w:val="000000"/>
                <w:sz w:val="16"/>
                <w:szCs w:val="16"/>
              </w:rPr>
            </w:pPr>
          </w:p>
        </w:tc>
        <w:tc>
          <w:tcPr>
            <w:tcW w:w="3912" w:type="dxa"/>
            <w:tcBorders>
              <w:top w:val="single" w:sz="4" w:space="0" w:color="auto"/>
              <w:left w:val="nil"/>
              <w:bottom w:val="single" w:sz="4" w:space="0" w:color="auto"/>
              <w:right w:val="single" w:sz="4" w:space="0" w:color="auto"/>
            </w:tcBorders>
            <w:shd w:val="clear" w:color="auto" w:fill="auto"/>
            <w:vAlign w:val="center"/>
          </w:tcPr>
          <w:p w14:paraId="2DE70843" w14:textId="07147864" w:rsidR="00871AD8" w:rsidRPr="00871AD8" w:rsidRDefault="00EA4314" w:rsidP="005A3B48">
            <w:pPr>
              <w:spacing w:before="60" w:after="60"/>
              <w:rPr>
                <w:b/>
                <w:bCs/>
                <w:color w:val="000000"/>
                <w:sz w:val="18"/>
                <w:szCs w:val="18"/>
              </w:rPr>
            </w:pPr>
            <w:r>
              <w:rPr>
                <w:b/>
                <w:bCs/>
                <w:color w:val="000000"/>
                <w:sz w:val="18"/>
                <w:szCs w:val="18"/>
              </w:rPr>
              <w:t>SORAFENIB</w:t>
            </w:r>
          </w:p>
        </w:tc>
        <w:tc>
          <w:tcPr>
            <w:tcW w:w="1647" w:type="dxa"/>
            <w:tcBorders>
              <w:top w:val="single" w:sz="4" w:space="0" w:color="auto"/>
              <w:left w:val="nil"/>
              <w:bottom w:val="single" w:sz="4" w:space="0" w:color="auto"/>
              <w:right w:val="single" w:sz="4" w:space="0" w:color="auto"/>
            </w:tcBorders>
            <w:shd w:val="clear" w:color="auto" w:fill="auto"/>
            <w:vAlign w:val="center"/>
          </w:tcPr>
          <w:p w14:paraId="1334C237" w14:textId="19812AC2" w:rsidR="00871AD8" w:rsidRPr="00871AD8" w:rsidRDefault="00871AD8" w:rsidP="005A3B48">
            <w:pPr>
              <w:spacing w:before="60" w:after="60"/>
              <w:jc w:val="center"/>
              <w:rPr>
                <w:color w:val="000000"/>
                <w:sz w:val="18"/>
                <w:szCs w:val="18"/>
              </w:rPr>
            </w:pPr>
            <w:r w:rsidRPr="00871AD8">
              <w:rPr>
                <w:color w:val="000000"/>
                <w:sz w:val="18"/>
                <w:szCs w:val="18"/>
              </w:rPr>
              <w:t>C</w:t>
            </w:r>
            <w:r w:rsidR="00AD75C9">
              <w:rPr>
                <w:color w:val="000000"/>
                <w:sz w:val="18"/>
                <w:szCs w:val="18"/>
              </w:rPr>
              <w:t>73</w:t>
            </w:r>
            <w:r w:rsidRPr="00871AD8">
              <w:rPr>
                <w:color w:val="000000"/>
                <w:sz w:val="18"/>
                <w:szCs w:val="18"/>
              </w:rPr>
              <w:t xml:space="preserve"> </w:t>
            </w:r>
          </w:p>
        </w:tc>
        <w:tc>
          <w:tcPr>
            <w:tcW w:w="8519" w:type="dxa"/>
            <w:tcBorders>
              <w:top w:val="single" w:sz="4" w:space="0" w:color="auto"/>
              <w:left w:val="nil"/>
              <w:bottom w:val="single" w:sz="4" w:space="0" w:color="auto"/>
              <w:right w:val="single" w:sz="4" w:space="0" w:color="auto"/>
            </w:tcBorders>
            <w:shd w:val="clear" w:color="auto" w:fill="auto"/>
            <w:vAlign w:val="center"/>
          </w:tcPr>
          <w:p w14:paraId="56C3CF88" w14:textId="74311B5C" w:rsidR="00871AD8" w:rsidRPr="0082329D" w:rsidRDefault="00AD75C9" w:rsidP="005A3B48">
            <w:pPr>
              <w:spacing w:before="60" w:after="60"/>
              <w:rPr>
                <w:rFonts w:cs="Calibri"/>
                <w:color w:val="000000"/>
                <w:sz w:val="18"/>
                <w:szCs w:val="18"/>
              </w:rPr>
            </w:pPr>
            <w:r w:rsidRPr="00AD75C9">
              <w:rPr>
                <w:rFonts w:cs="Calibri"/>
                <w:color w:val="000000"/>
                <w:sz w:val="18"/>
                <w:szCs w:val="18"/>
              </w:rPr>
              <w:t>NOWOTWÓR ZŁOŚLIWY TARCZYCY</w:t>
            </w:r>
          </w:p>
        </w:tc>
      </w:tr>
    </w:tbl>
    <w:p w14:paraId="3130F51D" w14:textId="583823FD" w:rsidR="00E13AA4" w:rsidRPr="00675571" w:rsidRDefault="00E13AA4" w:rsidP="00675571">
      <w:pPr>
        <w:spacing w:after="240" w:line="276" w:lineRule="auto"/>
        <w:rPr>
          <w:bCs/>
          <w:i/>
          <w:iCs/>
          <w:sz w:val="22"/>
          <w:szCs w:val="22"/>
        </w:rPr>
      </w:pPr>
    </w:p>
    <w:sectPr w:rsidR="00E13AA4" w:rsidRPr="00675571" w:rsidSect="00F30649">
      <w:pgSz w:w="16838" w:h="11906" w:orient="landscape"/>
      <w:pgMar w:top="1588" w:right="720" w:bottom="141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08A5"/>
    <w:multiLevelType w:val="hybridMultilevel"/>
    <w:tmpl w:val="7FD44E70"/>
    <w:lvl w:ilvl="0" w:tplc="94D2A396">
      <w:start w:val="1"/>
      <w:numFmt w:val="decimal"/>
      <w:lvlText w:val="%1."/>
      <w:lvlJc w:val="left"/>
      <w:pPr>
        <w:tabs>
          <w:tab w:val="num" w:pos="720"/>
        </w:tabs>
        <w:ind w:left="720" w:hanging="360"/>
      </w:pPr>
      <w:rPr>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305106"/>
    <w:multiLevelType w:val="hybridMultilevel"/>
    <w:tmpl w:val="49F01318"/>
    <w:lvl w:ilvl="0" w:tplc="C5C240E2">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40E0FAC"/>
    <w:multiLevelType w:val="hybridMultilevel"/>
    <w:tmpl w:val="BC8001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56D1D6E"/>
    <w:multiLevelType w:val="hybridMultilevel"/>
    <w:tmpl w:val="61DEDE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F203A8F"/>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244F31C2"/>
    <w:multiLevelType w:val="hybridMultilevel"/>
    <w:tmpl w:val="54DA9B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3BFE2E21"/>
    <w:multiLevelType w:val="hybridMultilevel"/>
    <w:tmpl w:val="CE788CEA"/>
    <w:lvl w:ilvl="0" w:tplc="274E5676">
      <w:start w:val="1"/>
      <w:numFmt w:val="decimal"/>
      <w:lvlText w:val="%1."/>
      <w:lvlJc w:val="center"/>
      <w:pPr>
        <w:tabs>
          <w:tab w:val="num" w:pos="720"/>
        </w:tabs>
        <w:ind w:left="720" w:hanging="360"/>
      </w:pPr>
      <w:rPr>
        <w:rFonts w:hint="default"/>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15F183C"/>
    <w:multiLevelType w:val="hybridMultilevel"/>
    <w:tmpl w:val="861C45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612601C"/>
    <w:multiLevelType w:val="hybridMultilevel"/>
    <w:tmpl w:val="CEE6DC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FDD5B39"/>
    <w:multiLevelType w:val="hybridMultilevel"/>
    <w:tmpl w:val="D428BF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8251FE9"/>
    <w:multiLevelType w:val="hybridMultilevel"/>
    <w:tmpl w:val="C1405B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A242512"/>
    <w:multiLevelType w:val="hybridMultilevel"/>
    <w:tmpl w:val="4170F10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709F40F8"/>
    <w:multiLevelType w:val="multilevel"/>
    <w:tmpl w:val="EE64FAA8"/>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3" w15:restartNumberingAfterBreak="0">
    <w:nsid w:val="76961BB7"/>
    <w:multiLevelType w:val="multilevel"/>
    <w:tmpl w:val="EE64FAA8"/>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num w:numId="1" w16cid:durableId="1673413142">
    <w:abstractNumId w:val="0"/>
  </w:num>
  <w:num w:numId="2" w16cid:durableId="461775226">
    <w:abstractNumId w:val="11"/>
  </w:num>
  <w:num w:numId="3" w16cid:durableId="1487625629">
    <w:abstractNumId w:val="8"/>
  </w:num>
  <w:num w:numId="4" w16cid:durableId="362558727">
    <w:abstractNumId w:val="7"/>
  </w:num>
  <w:num w:numId="5" w16cid:durableId="1956907615">
    <w:abstractNumId w:val="2"/>
  </w:num>
  <w:num w:numId="6" w16cid:durableId="886723467">
    <w:abstractNumId w:val="10"/>
  </w:num>
  <w:num w:numId="7" w16cid:durableId="1028414853">
    <w:abstractNumId w:val="5"/>
  </w:num>
  <w:num w:numId="8" w16cid:durableId="1770084728">
    <w:abstractNumId w:val="4"/>
  </w:num>
  <w:num w:numId="9" w16cid:durableId="14471134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16cid:durableId="1420247456">
    <w:abstractNumId w:val="1"/>
  </w:num>
  <w:num w:numId="11" w16cid:durableId="560949566">
    <w:abstractNumId w:val="6"/>
  </w:num>
  <w:num w:numId="12" w16cid:durableId="15262837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16cid:durableId="1490370087">
    <w:abstractNumId w:val="3"/>
  </w:num>
  <w:num w:numId="14" w16cid:durableId="18333280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275"/>
    <w:rsid w:val="000058D4"/>
    <w:rsid w:val="00034EB9"/>
    <w:rsid w:val="0005306B"/>
    <w:rsid w:val="000B7D55"/>
    <w:rsid w:val="000C62E5"/>
    <w:rsid w:val="001476C1"/>
    <w:rsid w:val="001620FE"/>
    <w:rsid w:val="00166CAB"/>
    <w:rsid w:val="001E3E6A"/>
    <w:rsid w:val="001F0B42"/>
    <w:rsid w:val="002043D0"/>
    <w:rsid w:val="00222680"/>
    <w:rsid w:val="002435E5"/>
    <w:rsid w:val="00254105"/>
    <w:rsid w:val="0025776E"/>
    <w:rsid w:val="0026261A"/>
    <w:rsid w:val="0029143E"/>
    <w:rsid w:val="00291A6B"/>
    <w:rsid w:val="002A2543"/>
    <w:rsid w:val="002D5D4D"/>
    <w:rsid w:val="00304D2E"/>
    <w:rsid w:val="00313F72"/>
    <w:rsid w:val="00324CB3"/>
    <w:rsid w:val="0038718E"/>
    <w:rsid w:val="00392604"/>
    <w:rsid w:val="003A01EC"/>
    <w:rsid w:val="003C3655"/>
    <w:rsid w:val="003D1DD7"/>
    <w:rsid w:val="003D6C2E"/>
    <w:rsid w:val="003E349B"/>
    <w:rsid w:val="003E74B7"/>
    <w:rsid w:val="0040230F"/>
    <w:rsid w:val="004100DA"/>
    <w:rsid w:val="004108CD"/>
    <w:rsid w:val="00420EF5"/>
    <w:rsid w:val="0043047D"/>
    <w:rsid w:val="004805C2"/>
    <w:rsid w:val="004C1BD9"/>
    <w:rsid w:val="004D02C0"/>
    <w:rsid w:val="004D0580"/>
    <w:rsid w:val="004D0D73"/>
    <w:rsid w:val="004E4805"/>
    <w:rsid w:val="004F2F38"/>
    <w:rsid w:val="00503B64"/>
    <w:rsid w:val="00510625"/>
    <w:rsid w:val="00512A19"/>
    <w:rsid w:val="005156E6"/>
    <w:rsid w:val="00516492"/>
    <w:rsid w:val="005344B9"/>
    <w:rsid w:val="00547D71"/>
    <w:rsid w:val="005A3B48"/>
    <w:rsid w:val="005A5CA5"/>
    <w:rsid w:val="00625AEE"/>
    <w:rsid w:val="00642F9C"/>
    <w:rsid w:val="006564B7"/>
    <w:rsid w:val="00675571"/>
    <w:rsid w:val="0067649B"/>
    <w:rsid w:val="00686D65"/>
    <w:rsid w:val="006C23FD"/>
    <w:rsid w:val="006C300E"/>
    <w:rsid w:val="006D326B"/>
    <w:rsid w:val="006F066A"/>
    <w:rsid w:val="006F1E01"/>
    <w:rsid w:val="006F2A68"/>
    <w:rsid w:val="006F368A"/>
    <w:rsid w:val="006F7AAA"/>
    <w:rsid w:val="00722D76"/>
    <w:rsid w:val="00740D57"/>
    <w:rsid w:val="00747DA0"/>
    <w:rsid w:val="007547CA"/>
    <w:rsid w:val="00754F61"/>
    <w:rsid w:val="00755E61"/>
    <w:rsid w:val="00772856"/>
    <w:rsid w:val="0078462F"/>
    <w:rsid w:val="007E7128"/>
    <w:rsid w:val="00800A50"/>
    <w:rsid w:val="008038E6"/>
    <w:rsid w:val="00806922"/>
    <w:rsid w:val="00821DF9"/>
    <w:rsid w:val="0082329D"/>
    <w:rsid w:val="00844626"/>
    <w:rsid w:val="00871AD8"/>
    <w:rsid w:val="00872AFF"/>
    <w:rsid w:val="00872E3D"/>
    <w:rsid w:val="0087434B"/>
    <w:rsid w:val="008B71E3"/>
    <w:rsid w:val="008D0593"/>
    <w:rsid w:val="008F19E5"/>
    <w:rsid w:val="00907C31"/>
    <w:rsid w:val="0092074E"/>
    <w:rsid w:val="009231DF"/>
    <w:rsid w:val="00926E1E"/>
    <w:rsid w:val="009410C3"/>
    <w:rsid w:val="0095533A"/>
    <w:rsid w:val="00987178"/>
    <w:rsid w:val="00994824"/>
    <w:rsid w:val="009C3176"/>
    <w:rsid w:val="009D088E"/>
    <w:rsid w:val="009D1B02"/>
    <w:rsid w:val="009E627D"/>
    <w:rsid w:val="009F5379"/>
    <w:rsid w:val="00A005D2"/>
    <w:rsid w:val="00A16852"/>
    <w:rsid w:val="00A31785"/>
    <w:rsid w:val="00A77330"/>
    <w:rsid w:val="00AA4024"/>
    <w:rsid w:val="00AB7FAF"/>
    <w:rsid w:val="00AD75C9"/>
    <w:rsid w:val="00AE3653"/>
    <w:rsid w:val="00AF23AE"/>
    <w:rsid w:val="00AF4808"/>
    <w:rsid w:val="00B31DCE"/>
    <w:rsid w:val="00BB405E"/>
    <w:rsid w:val="00BB5410"/>
    <w:rsid w:val="00C01212"/>
    <w:rsid w:val="00C725AE"/>
    <w:rsid w:val="00C771C2"/>
    <w:rsid w:val="00CC263D"/>
    <w:rsid w:val="00CC6CD1"/>
    <w:rsid w:val="00D31546"/>
    <w:rsid w:val="00D75D4A"/>
    <w:rsid w:val="00DA75F3"/>
    <w:rsid w:val="00DC1687"/>
    <w:rsid w:val="00E06275"/>
    <w:rsid w:val="00E13AA4"/>
    <w:rsid w:val="00E1487C"/>
    <w:rsid w:val="00E42C08"/>
    <w:rsid w:val="00E7423F"/>
    <w:rsid w:val="00E82FC4"/>
    <w:rsid w:val="00EA2EC4"/>
    <w:rsid w:val="00EA4314"/>
    <w:rsid w:val="00EB2BB0"/>
    <w:rsid w:val="00EE4E76"/>
    <w:rsid w:val="00EE64B9"/>
    <w:rsid w:val="00EF3A18"/>
    <w:rsid w:val="00F25053"/>
    <w:rsid w:val="00F30649"/>
    <w:rsid w:val="00F77BC6"/>
    <w:rsid w:val="00F8351E"/>
    <w:rsid w:val="00FD609F"/>
    <w:rsid w:val="00FE5B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3C574"/>
  <w15:docId w15:val="{F9BC633F-78A9-41C1-9B74-8050EF018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6CD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C6CD1"/>
    <w:pPr>
      <w:ind w:left="720"/>
    </w:pPr>
    <w:rPr>
      <w:rFonts w:ascii="Calibri" w:eastAsia="Calibri" w:hAnsi="Calibri" w:cs="Calibri"/>
      <w:sz w:val="22"/>
      <w:szCs w:val="22"/>
      <w:lang w:eastAsia="en-US"/>
    </w:rPr>
  </w:style>
  <w:style w:type="paragraph" w:customStyle="1" w:styleId="pismamz">
    <w:name w:val="pisma_mz"/>
    <w:basedOn w:val="Normalny"/>
    <w:link w:val="pismamzZnak"/>
    <w:qFormat/>
    <w:rsid w:val="00987178"/>
    <w:pPr>
      <w:spacing w:line="360" w:lineRule="auto"/>
      <w:contextualSpacing/>
      <w:jc w:val="both"/>
    </w:pPr>
    <w:rPr>
      <w:rFonts w:ascii="Arial" w:eastAsia="Calibri" w:hAnsi="Arial"/>
      <w:sz w:val="22"/>
      <w:szCs w:val="22"/>
      <w:lang w:eastAsia="en-US"/>
    </w:rPr>
  </w:style>
  <w:style w:type="character" w:customStyle="1" w:styleId="pismamzZnak">
    <w:name w:val="pisma_mz Znak"/>
    <w:link w:val="pismamz"/>
    <w:rsid w:val="00987178"/>
    <w:rPr>
      <w:rFonts w:ascii="Arial" w:eastAsia="Calibri" w:hAnsi="Arial" w:cs="Times New Roman"/>
    </w:rPr>
  </w:style>
  <w:style w:type="character" w:styleId="Odwoaniedokomentarza">
    <w:name w:val="annotation reference"/>
    <w:basedOn w:val="Domylnaczcionkaakapitu"/>
    <w:uiPriority w:val="99"/>
    <w:semiHidden/>
    <w:unhideWhenUsed/>
    <w:rsid w:val="00987178"/>
    <w:rPr>
      <w:sz w:val="16"/>
      <w:szCs w:val="16"/>
    </w:rPr>
  </w:style>
  <w:style w:type="paragraph" w:styleId="Tekstkomentarza">
    <w:name w:val="annotation text"/>
    <w:basedOn w:val="Normalny"/>
    <w:link w:val="TekstkomentarzaZnak"/>
    <w:uiPriority w:val="99"/>
    <w:unhideWhenUsed/>
    <w:rsid w:val="00987178"/>
    <w:rPr>
      <w:sz w:val="20"/>
      <w:szCs w:val="20"/>
    </w:rPr>
  </w:style>
  <w:style w:type="character" w:customStyle="1" w:styleId="TekstkomentarzaZnak">
    <w:name w:val="Tekst komentarza Znak"/>
    <w:basedOn w:val="Domylnaczcionkaakapitu"/>
    <w:link w:val="Tekstkomentarza"/>
    <w:uiPriority w:val="99"/>
    <w:rsid w:val="0098717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87178"/>
    <w:rPr>
      <w:b/>
      <w:bCs/>
    </w:rPr>
  </w:style>
  <w:style w:type="character" w:customStyle="1" w:styleId="TematkomentarzaZnak">
    <w:name w:val="Temat komentarza Znak"/>
    <w:basedOn w:val="TekstkomentarzaZnak"/>
    <w:link w:val="Tematkomentarza"/>
    <w:uiPriority w:val="99"/>
    <w:semiHidden/>
    <w:rsid w:val="00987178"/>
    <w:rPr>
      <w:rFonts w:ascii="Times New Roman" w:eastAsia="Times New Roman" w:hAnsi="Times New Roman" w:cs="Times New Roman"/>
      <w:b/>
      <w:bCs/>
      <w:sz w:val="20"/>
      <w:szCs w:val="20"/>
      <w:lang w:eastAsia="pl-PL"/>
    </w:rPr>
  </w:style>
  <w:style w:type="paragraph" w:customStyle="1" w:styleId="Default">
    <w:name w:val="Default"/>
    <w:rsid w:val="00987178"/>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3A01EC"/>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77BC6"/>
    <w:rPr>
      <w:rFonts w:ascii="Tahoma" w:hAnsi="Tahoma" w:cs="Tahoma"/>
      <w:sz w:val="16"/>
      <w:szCs w:val="16"/>
    </w:rPr>
  </w:style>
  <w:style w:type="character" w:customStyle="1" w:styleId="TekstdymkaZnak">
    <w:name w:val="Tekst dymka Znak"/>
    <w:basedOn w:val="Domylnaczcionkaakapitu"/>
    <w:link w:val="Tekstdymka"/>
    <w:uiPriority w:val="99"/>
    <w:semiHidden/>
    <w:rsid w:val="00F77BC6"/>
    <w:rPr>
      <w:rFonts w:ascii="Tahoma" w:eastAsia="Times New Roman" w:hAnsi="Tahoma" w:cs="Tahoma"/>
      <w:sz w:val="16"/>
      <w:szCs w:val="16"/>
      <w:lang w:eastAsia="pl-PL"/>
    </w:rPr>
  </w:style>
  <w:style w:type="paragraph" w:customStyle="1" w:styleId="pf0">
    <w:name w:val="pf0"/>
    <w:basedOn w:val="Normalny"/>
    <w:rsid w:val="00313F72"/>
    <w:pPr>
      <w:spacing w:before="100" w:beforeAutospacing="1" w:after="100" w:afterAutospacing="1"/>
    </w:pPr>
  </w:style>
  <w:style w:type="character" w:customStyle="1" w:styleId="cf01">
    <w:name w:val="cf01"/>
    <w:basedOn w:val="Domylnaczcionkaakapitu"/>
    <w:rsid w:val="00313F72"/>
    <w:rPr>
      <w:rFonts w:ascii="Segoe UI" w:hAnsi="Segoe UI" w:cs="Segoe UI" w:hint="default"/>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19749">
      <w:bodyDiv w:val="1"/>
      <w:marLeft w:val="0"/>
      <w:marRight w:val="0"/>
      <w:marTop w:val="0"/>
      <w:marBottom w:val="0"/>
      <w:divBdr>
        <w:top w:val="none" w:sz="0" w:space="0" w:color="auto"/>
        <w:left w:val="none" w:sz="0" w:space="0" w:color="auto"/>
        <w:bottom w:val="none" w:sz="0" w:space="0" w:color="auto"/>
        <w:right w:val="none" w:sz="0" w:space="0" w:color="auto"/>
      </w:divBdr>
    </w:div>
    <w:div w:id="482044908">
      <w:bodyDiv w:val="1"/>
      <w:marLeft w:val="0"/>
      <w:marRight w:val="0"/>
      <w:marTop w:val="0"/>
      <w:marBottom w:val="0"/>
      <w:divBdr>
        <w:top w:val="none" w:sz="0" w:space="0" w:color="auto"/>
        <w:left w:val="none" w:sz="0" w:space="0" w:color="auto"/>
        <w:bottom w:val="none" w:sz="0" w:space="0" w:color="auto"/>
        <w:right w:val="none" w:sz="0" w:space="0" w:color="auto"/>
      </w:divBdr>
    </w:div>
    <w:div w:id="1803963398">
      <w:bodyDiv w:val="1"/>
      <w:marLeft w:val="0"/>
      <w:marRight w:val="0"/>
      <w:marTop w:val="0"/>
      <w:marBottom w:val="0"/>
      <w:divBdr>
        <w:top w:val="none" w:sz="0" w:space="0" w:color="auto"/>
        <w:left w:val="none" w:sz="0" w:space="0" w:color="auto"/>
        <w:bottom w:val="none" w:sz="0" w:space="0" w:color="auto"/>
        <w:right w:val="none" w:sz="0" w:space="0" w:color="auto"/>
      </w:divBdr>
    </w:div>
    <w:div w:id="196006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102D9-FD5E-463B-848C-369735D6C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127</Words>
  <Characters>763</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Kosmal Martyna</dc:creator>
  <cp:keywords/>
  <dc:description/>
  <cp:lastModifiedBy>Wilk Justyna</cp:lastModifiedBy>
  <cp:revision>3</cp:revision>
  <dcterms:created xsi:type="dcterms:W3CDTF">2025-02-27T17:38:00Z</dcterms:created>
  <dcterms:modified xsi:type="dcterms:W3CDTF">2025-02-27T17:44:00Z</dcterms:modified>
</cp:coreProperties>
</file>